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A" w:rsidRDefault="0008033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FA" w:rsidRDefault="00080330">
      <w:pPr>
        <w:spacing w:after="0"/>
      </w:pPr>
      <w:r>
        <w:rPr>
          <w:b/>
          <w:color w:val="000000"/>
          <w:sz w:val="28"/>
        </w:rPr>
        <w:t xml:space="preserve">2020-2021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жылына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бағдарламаларының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топтары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бөлінісінде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жоғары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жоғары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орнынан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кадрларды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даярлауға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тапсырысын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44AFA" w:rsidRDefault="0008033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210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20661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E44AFA" w:rsidRDefault="0008033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2-1)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қаржыландырылатын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Қарулы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құралымдар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2018-2019, 2019-2020, 2020-2021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199 </w:t>
      </w:r>
      <w:proofErr w:type="spellStart"/>
      <w:r>
        <w:rPr>
          <w:color w:val="000000"/>
          <w:sz w:val="28"/>
        </w:rPr>
        <w:t>қаулысын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, 2019-2020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 </w:t>
      </w:r>
      <w:proofErr w:type="spellStart"/>
      <w:r>
        <w:rPr>
          <w:color w:val="000000"/>
          <w:sz w:val="28"/>
        </w:rPr>
        <w:t>хаттамасының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БҰЙЫРАМЫН:</w:t>
      </w:r>
      <w:proofErr w:type="gramEnd"/>
    </w:p>
    <w:p w:rsidR="00E44AFA" w:rsidRDefault="00080330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p w:rsidR="00E44AFA" w:rsidRDefault="00080330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2020-2021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>;</w:t>
      </w:r>
    </w:p>
    <w:p w:rsidR="00E44AFA" w:rsidRDefault="00080330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2020-2021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магистрлерді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>;</w:t>
      </w:r>
    </w:p>
    <w:p w:rsidR="00E44AFA" w:rsidRDefault="00080330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2020-2021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PhD </w:t>
      </w:r>
      <w:proofErr w:type="spellStart"/>
      <w:r>
        <w:rPr>
          <w:color w:val="000000"/>
          <w:sz w:val="28"/>
        </w:rPr>
        <w:t>докторларын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бөлінсін</w:t>
      </w:r>
      <w:proofErr w:type="spellEnd"/>
      <w:r>
        <w:rPr>
          <w:color w:val="000000"/>
          <w:sz w:val="28"/>
        </w:rPr>
        <w:t>.</w:t>
      </w:r>
    </w:p>
    <w:p w:rsidR="00E44AFA" w:rsidRDefault="00080330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E44AFA" w:rsidRDefault="00080330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E44AFA" w:rsidRDefault="00080330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;</w:t>
      </w:r>
    </w:p>
    <w:p w:rsidR="00E44AFA" w:rsidRDefault="00080330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lastRenderedPageBreak/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1),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E44AFA" w:rsidRDefault="00080330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М.М. </w:t>
      </w:r>
      <w:proofErr w:type="spellStart"/>
      <w:r>
        <w:rPr>
          <w:color w:val="000000"/>
          <w:sz w:val="28"/>
        </w:rPr>
        <w:t>Дәуленовке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E44AFA" w:rsidRDefault="00080330">
      <w:pPr>
        <w:spacing w:after="0"/>
        <w:jc w:val="both"/>
      </w:pPr>
      <w:bookmarkStart w:id="10" w:name="z11"/>
      <w:bookmarkEnd w:id="9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"/>
        <w:gridCol w:w="5918"/>
        <w:gridCol w:w="35"/>
        <w:gridCol w:w="3403"/>
        <w:gridCol w:w="276"/>
      </w:tblGrid>
      <w:tr w:rsidR="00E44AFA" w:rsidTr="000933D5">
        <w:trPr>
          <w:gridAfter w:val="1"/>
          <w:wAfter w:w="276" w:type="dxa"/>
          <w:trHeight w:val="30"/>
          <w:tblCellSpacing w:w="0" w:type="auto"/>
        </w:trPr>
        <w:tc>
          <w:tcPr>
            <w:tcW w:w="60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44AFA" w:rsidRPr="00080330" w:rsidRDefault="0008033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8033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  <w:r w:rsidRPr="00080330">
              <w:rPr>
                <w:lang w:val="ru-RU"/>
              </w:rPr>
              <w:br/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Білім</w:t>
            </w:r>
            <w:proofErr w:type="spellEnd"/>
            <w:r w:rsidRPr="0008033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08033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ғылым</w:t>
            </w:r>
            <w:proofErr w:type="spellEnd"/>
            <w:r w:rsidRPr="0008033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80330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E44AFA" w:rsidTr="000933D5">
        <w:trPr>
          <w:gridBefore w:val="1"/>
          <w:wBefore w:w="115" w:type="dxa"/>
          <w:trHeight w:val="30"/>
          <w:tblCellSpacing w:w="0" w:type="auto"/>
        </w:trPr>
        <w:tc>
          <w:tcPr>
            <w:tcW w:w="5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210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E44AFA" w:rsidRDefault="00080330">
      <w:pPr>
        <w:spacing w:after="0"/>
      </w:pPr>
      <w:bookmarkStart w:id="11" w:name="z17"/>
      <w:r>
        <w:rPr>
          <w:b/>
          <w:color w:val="000000"/>
        </w:rPr>
        <w:t xml:space="preserve"> 2020-2021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жылына</w:t>
      </w:r>
      <w:proofErr w:type="spellEnd"/>
      <w:r>
        <w:rPr>
          <w:b/>
          <w:color w:val="000000"/>
        </w:rPr>
        <w:t xml:space="preserve"> PhD </w:t>
      </w:r>
      <w:proofErr w:type="spellStart"/>
      <w:r>
        <w:rPr>
          <w:b/>
          <w:color w:val="000000"/>
        </w:rPr>
        <w:t>докторларын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даярлауға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9"/>
        <w:gridCol w:w="1726"/>
        <w:gridCol w:w="2115"/>
        <w:gridCol w:w="2400"/>
      </w:tblGrid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Білім беру бағдарламасы тобының коды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Білім беру бағдарламалары тобының атауы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202-2021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8D011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8D012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педагогикасы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8D013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8D014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8D015 </w:t>
            </w: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8D016 </w:t>
            </w:r>
            <w:proofErr w:type="spellStart"/>
            <w:r>
              <w:rPr>
                <w:color w:val="000000"/>
                <w:sz w:val="20"/>
              </w:rPr>
              <w:t>Гуманитарлық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8D017 </w:t>
            </w:r>
            <w:proofErr w:type="spellStart"/>
            <w:r>
              <w:rPr>
                <w:color w:val="000000"/>
                <w:sz w:val="20"/>
              </w:rPr>
              <w:t>Тілдер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мұғалімдерді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8D018 </w:t>
            </w:r>
            <w:proofErr w:type="spellStart"/>
            <w:r>
              <w:rPr>
                <w:color w:val="000000"/>
                <w:sz w:val="20"/>
              </w:rPr>
              <w:t>Әлеуметік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8D019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E44AFA" w:rsidRPr="000933D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02 Өнер және гуманитарлық ғылымдар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8D022 </w:t>
            </w:r>
            <w:proofErr w:type="spellStart"/>
            <w:r>
              <w:rPr>
                <w:color w:val="000000"/>
                <w:sz w:val="20"/>
              </w:rPr>
              <w:t>Гуманитарлық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Дінтану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8D023 </w:t>
            </w:r>
            <w:proofErr w:type="spellStart"/>
            <w:r>
              <w:rPr>
                <w:color w:val="000000"/>
                <w:sz w:val="20"/>
              </w:rPr>
              <w:t>Тілдер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аударма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филологиясы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Лингвистика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E44AFA" w:rsidRPr="000933D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03 Әлеуметтік ғылымдар, журналистика және ақпарат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8D031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Мәдениеттану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Саясаттану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конфликтология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қатынастар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Аймақтану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8D032 </w:t>
            </w: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Кітапхана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мұрағат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E44AFA" w:rsidRPr="000933D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04 Бизнес, басқару және құқық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8D041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жарнама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8D042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E44AFA" w:rsidRPr="000933D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05 Жаратылыстану ғылымдары, математика және статистика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051 Биологиялық және сабақтас ғылымдар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Биотехнология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Геоботаника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8D052 </w:t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Метеорология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8D053 </w:t>
            </w:r>
            <w:proofErr w:type="spellStart"/>
            <w:r>
              <w:rPr>
                <w:color w:val="000000"/>
                <w:sz w:val="20"/>
              </w:rPr>
              <w:t>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8D054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 </w:t>
            </w:r>
            <w:proofErr w:type="spellStart"/>
            <w:r>
              <w:rPr>
                <w:color w:val="000000"/>
                <w:sz w:val="20"/>
              </w:rPr>
              <w:t>Ақпараттық-коммуникациялық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8D061 </w:t>
            </w:r>
            <w:proofErr w:type="spellStart"/>
            <w:r>
              <w:rPr>
                <w:color w:val="000000"/>
                <w:sz w:val="20"/>
              </w:rPr>
              <w:t>Ақпараттық-коммуникациялық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8D062 </w:t>
            </w:r>
            <w:proofErr w:type="spellStart"/>
            <w:r>
              <w:rPr>
                <w:color w:val="000000"/>
                <w:sz w:val="20"/>
              </w:rPr>
              <w:t>Телекоммуникациялар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8D063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қауіпсіздік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қауіпсіздік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8D07 </w:t>
            </w:r>
            <w:proofErr w:type="spellStart"/>
            <w:r>
              <w:rPr>
                <w:color w:val="000000"/>
                <w:sz w:val="20"/>
              </w:rPr>
              <w:t>Инженерлік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>071 Инженерия және инженерлік іс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процестер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Материалтану және жаңа материалдар технологиясы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мехатроника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Ғарыштық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Наноматериалдар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нанотехнологиялар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геофизикасы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Көлік, көліктік техника және технология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8D072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Тоқыма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былғары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Фармацевтикалық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Тау-кен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инженериясы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8D073 </w:t>
            </w:r>
            <w:proofErr w:type="spellStart"/>
            <w:r>
              <w:rPr>
                <w:color w:val="000000"/>
                <w:sz w:val="20"/>
              </w:rPr>
              <w:t>Сәулет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Сәулет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құрастырылымдарының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8D074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 xml:space="preserve">075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Стандарттау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сертификаттау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метрология (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салалар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D130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933D5">
              <w:rPr>
                <w:color w:val="000000"/>
                <w:sz w:val="20"/>
                <w:lang w:val="ru-RU"/>
              </w:rPr>
              <w:t>Стандарттау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сертификаттау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метрология (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салалар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E44AFA" w:rsidRPr="000933D5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 xml:space="preserve">08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Ауыл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биоресурстар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8D081 </w:t>
            </w:r>
            <w:proofErr w:type="spellStart"/>
            <w:r>
              <w:rPr>
                <w:color w:val="000000"/>
                <w:sz w:val="20"/>
              </w:rPr>
              <w:t>Агрономия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D131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8D082 </w:t>
            </w: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8D083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8D084 </w:t>
            </w:r>
            <w:proofErr w:type="spellStart"/>
            <w:r>
              <w:rPr>
                <w:color w:val="000000"/>
                <w:sz w:val="20"/>
              </w:rPr>
              <w:t>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D134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8D087 </w:t>
            </w:r>
            <w:proofErr w:type="spellStart"/>
            <w:r>
              <w:rPr>
                <w:color w:val="000000"/>
                <w:sz w:val="20"/>
              </w:rPr>
              <w:t>Агроинженерия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D135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энергиямен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0933D5">
              <w:rPr>
                <w:color w:val="000000"/>
                <w:sz w:val="20"/>
                <w:lang w:val="ru-RU"/>
              </w:rPr>
              <w:t xml:space="preserve">086 Су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ресурстары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суды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Pr="000933D5" w:rsidRDefault="00080330">
            <w:pPr>
              <w:spacing w:after="20"/>
              <w:ind w:left="20"/>
              <w:jc w:val="both"/>
              <w:rPr>
                <w:lang w:val="ru-RU"/>
              </w:rPr>
            </w:pPr>
            <w:r w:rsidRPr="000933D5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ресурстары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0933D5">
              <w:rPr>
                <w:color w:val="000000"/>
                <w:sz w:val="20"/>
                <w:lang w:val="ru-RU"/>
              </w:rPr>
              <w:t xml:space="preserve"> суды </w:t>
            </w:r>
            <w:proofErr w:type="spellStart"/>
            <w:r w:rsidRPr="000933D5">
              <w:rPr>
                <w:color w:val="000000"/>
                <w:sz w:val="20"/>
                <w:lang w:val="ru-RU"/>
              </w:rPr>
              <w:t>пайдалану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8D09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8D091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8D111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D143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8D112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D146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Санитарлық-профилактикалық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8D113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D147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44AFA" w:rsidRDefault="00E44AFA"/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D148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8D114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қамсыздандыру</w:t>
            </w:r>
            <w:proofErr w:type="spellEnd"/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D149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Назарбаев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Университеті</w:t>
            </w:r>
            <w:proofErr w:type="spellEnd"/>
            <w:r>
              <w:rPr>
                <w:color w:val="000000"/>
                <w:sz w:val="20"/>
              </w:rPr>
              <w:t>" ДБҰ</w:t>
            </w:r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E44AFA">
        <w:trPr>
          <w:trHeight w:val="30"/>
          <w:tblCellSpacing w:w="0" w:type="auto"/>
        </w:trPr>
        <w:tc>
          <w:tcPr>
            <w:tcW w:w="4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3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FA" w:rsidRDefault="0008033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</w:tr>
    </w:tbl>
    <w:p w:rsidR="00E44AFA" w:rsidRDefault="00080330">
      <w:pPr>
        <w:spacing w:after="0"/>
      </w:pPr>
      <w:r>
        <w:lastRenderedPageBreak/>
        <w:br/>
      </w:r>
      <w:bookmarkStart w:id="12" w:name="_GoBack"/>
      <w:bookmarkEnd w:id="12"/>
      <w:r>
        <w:br/>
      </w:r>
    </w:p>
    <w:p w:rsidR="00E44AFA" w:rsidRDefault="0008033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44AF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A"/>
    <w:rsid w:val="00080330"/>
    <w:rsid w:val="000933D5"/>
    <w:rsid w:val="00E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A9F8-758D-45D1-9418-66AECC0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Әсел Дауылбаева</dc:creator>
  <cp:lastModifiedBy>Әсел Дауылбаева</cp:lastModifiedBy>
  <cp:revision>4</cp:revision>
  <dcterms:created xsi:type="dcterms:W3CDTF">2020-05-22T09:07:00Z</dcterms:created>
  <dcterms:modified xsi:type="dcterms:W3CDTF">2020-05-22T09:13:00Z</dcterms:modified>
</cp:coreProperties>
</file>